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D7" w:rsidRPr="00C15514" w:rsidRDefault="00D265D7" w:rsidP="00D265D7">
      <w:pPr>
        <w:spacing w:after="200" w:line="276" w:lineRule="auto"/>
        <w:jc w:val="right"/>
        <w:rPr>
          <w:rFonts w:ascii="Times New Roman" w:eastAsia="Calibri" w:hAnsi="Times New Roman" w:cs="Times New Roman"/>
          <w:b/>
          <w:sz w:val="24"/>
          <w:szCs w:val="24"/>
        </w:rPr>
      </w:pPr>
      <w:r w:rsidRPr="00C15514">
        <w:rPr>
          <w:rFonts w:ascii="Times New Roman" w:eastAsia="Calibri" w:hAnsi="Times New Roman" w:cs="Times New Roman"/>
          <w:b/>
          <w:sz w:val="24"/>
          <w:szCs w:val="24"/>
        </w:rPr>
        <w:t>Rule 95B</w:t>
      </w:r>
    </w:p>
    <w:p w:rsidR="00D265D7" w:rsidRDefault="00D265D7" w:rsidP="00D265D7">
      <w:pPr>
        <w:keepNext/>
        <w:keepLines/>
        <w:tabs>
          <w:tab w:val="right" w:pos="8789"/>
        </w:tabs>
        <w:autoSpaceDE w:val="0"/>
        <w:autoSpaceDN w:val="0"/>
        <w:adjustRightInd w:val="0"/>
        <w:spacing w:after="0" w:line="240" w:lineRule="auto"/>
        <w:rPr>
          <w:rFonts w:ascii="Times New Roman" w:eastAsia="Calibri" w:hAnsi="Times New Roman" w:cs="Times New Roman"/>
          <w:sz w:val="24"/>
          <w:szCs w:val="24"/>
        </w:rPr>
      </w:pPr>
      <w:bookmarkStart w:id="0" w:name="_Toc467078984"/>
      <w:r>
        <w:rPr>
          <w:rFonts w:ascii="Times New Roman" w:eastAsia="Times New Roman" w:hAnsi="Times New Roman" w:cs="Times New Roman"/>
          <w:bCs/>
          <w:color w:val="000000"/>
          <w:sz w:val="24"/>
          <w:szCs w:val="24"/>
        </w:rPr>
        <w:t>Form 34H</w:t>
      </w:r>
      <w:r w:rsidRPr="00C15514">
        <w:rPr>
          <w:rFonts w:ascii="Times New Roman" w:eastAsia="Times New Roman" w:hAnsi="Times New Roman" w:cs="Times New Roman"/>
          <w:bCs/>
          <w:color w:val="000000"/>
          <w:sz w:val="24"/>
          <w:szCs w:val="24"/>
        </w:rPr>
        <w:tab/>
        <w:t xml:space="preserve">Application to vary/revoke a Continuing Detention </w:t>
      </w:r>
      <w:proofErr w:type="gramStart"/>
      <w:r w:rsidRPr="00C15514">
        <w:rPr>
          <w:rFonts w:ascii="Times New Roman" w:eastAsia="Times New Roman" w:hAnsi="Times New Roman" w:cs="Times New Roman"/>
          <w:bCs/>
          <w:color w:val="000000"/>
          <w:sz w:val="24"/>
          <w:szCs w:val="24"/>
        </w:rPr>
        <w:t>Order</w:t>
      </w:r>
      <w:bookmarkEnd w:id="0"/>
      <w:proofErr w:type="gramEnd"/>
      <w:r>
        <w:rPr>
          <w:rFonts w:ascii="Times New Roman" w:eastAsia="Times New Roman" w:hAnsi="Times New Roman" w:cs="Times New Roman"/>
          <w:bCs/>
          <w:color w:val="000000"/>
          <w:sz w:val="24"/>
          <w:szCs w:val="24"/>
        </w:rPr>
        <w:br/>
      </w:r>
      <w:r>
        <w:rPr>
          <w:rFonts w:ascii="Times New Roman" w:eastAsia="Times New Roman" w:hAnsi="Times New Roman" w:cs="Times New Roman"/>
          <w:bCs/>
          <w:color w:val="000000"/>
          <w:sz w:val="24"/>
          <w:szCs w:val="24"/>
        </w:rPr>
        <w:br/>
      </w:r>
      <w:r w:rsidRPr="00C15514">
        <w:rPr>
          <w:rFonts w:ascii="Times New Roman" w:eastAsia="Calibri" w:hAnsi="Times New Roman" w:cs="Times New Roman"/>
          <w:sz w:val="24"/>
          <w:szCs w:val="24"/>
        </w:rPr>
        <w:t>(</w:t>
      </w:r>
      <w:r w:rsidRPr="00C15514">
        <w:rPr>
          <w:rFonts w:ascii="Times New Roman" w:eastAsia="Calibri" w:hAnsi="Times New Roman" w:cs="Times New Roman"/>
          <w:i/>
          <w:sz w:val="24"/>
          <w:szCs w:val="24"/>
        </w:rPr>
        <w:t>insert front sheet</w:t>
      </w:r>
      <w:r w:rsidRPr="00C15514">
        <w:rPr>
          <w:rFonts w:ascii="Times New Roman" w:eastAsia="Calibri" w:hAnsi="Times New Roman" w:cs="Times New Roman"/>
          <w:sz w:val="24"/>
          <w:szCs w:val="24"/>
        </w:rPr>
        <w:t>)</w:t>
      </w:r>
    </w:p>
    <w:p w:rsidR="00D265D7" w:rsidRDefault="00D265D7" w:rsidP="00D265D7">
      <w:pPr>
        <w:keepNext/>
        <w:keepLines/>
        <w:tabs>
          <w:tab w:val="right" w:pos="8789"/>
        </w:tabs>
        <w:autoSpaceDE w:val="0"/>
        <w:autoSpaceDN w:val="0"/>
        <w:adjustRightInd w:val="0"/>
        <w:spacing w:after="0" w:line="240" w:lineRule="auto"/>
        <w:rPr>
          <w:rFonts w:ascii="Times New Roman" w:eastAsia="Calibri" w:hAnsi="Times New Roman" w:cs="Times New Roman"/>
          <w:sz w:val="24"/>
          <w:szCs w:val="24"/>
        </w:rPr>
      </w:pPr>
    </w:p>
    <w:p w:rsidR="00D265D7" w:rsidRPr="00C15514" w:rsidRDefault="00D265D7" w:rsidP="00D265D7">
      <w:pPr>
        <w:keepNext/>
        <w:keepLines/>
        <w:tabs>
          <w:tab w:val="right" w:pos="8789"/>
        </w:tabs>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C15514">
        <w:rPr>
          <w:rFonts w:ascii="Times New Roman" w:eastAsia="Calibri" w:hAnsi="Times New Roman" w:cs="Times New Roman"/>
          <w:b/>
          <w:sz w:val="26"/>
          <w:szCs w:val="26"/>
        </w:rPr>
        <w:t>APPLICATION TO</w:t>
      </w:r>
      <w:r w:rsidRPr="00C15514">
        <w:rPr>
          <w:rFonts w:ascii="Times New Roman" w:eastAsia="Calibri" w:hAnsi="Times New Roman" w:cs="Times New Roman"/>
          <w:b/>
          <w:sz w:val="24"/>
          <w:szCs w:val="24"/>
          <w:lang w:val="fr-FR"/>
        </w:rPr>
        <w:t xml:space="preserve"> VARY/REVOKE A CONTINUING DETENTION ORDER</w:t>
      </w:r>
      <w:r w:rsidRPr="00C15514">
        <w:rPr>
          <w:rFonts w:ascii="Times New Roman" w:eastAsia="Calibri" w:hAnsi="Times New Roman" w:cs="Times New Roman"/>
          <w:b/>
          <w:sz w:val="24"/>
          <w:szCs w:val="24"/>
          <w:lang w:val="fr-FR"/>
        </w:rPr>
        <w:br/>
      </w:r>
      <w:proofErr w:type="spellStart"/>
      <w:r w:rsidRPr="00C15514">
        <w:rPr>
          <w:rFonts w:ascii="Times New Roman" w:eastAsia="Calibri" w:hAnsi="Times New Roman" w:cs="Times New Roman"/>
          <w:i/>
          <w:sz w:val="24"/>
          <w:szCs w:val="24"/>
          <w:lang w:val="fr-FR"/>
        </w:rPr>
        <w:t>Criminal</w:t>
      </w:r>
      <w:proofErr w:type="spellEnd"/>
      <w:r w:rsidRPr="00C15514">
        <w:rPr>
          <w:rFonts w:ascii="Times New Roman" w:eastAsia="Calibri" w:hAnsi="Times New Roman" w:cs="Times New Roman"/>
          <w:i/>
          <w:sz w:val="24"/>
          <w:szCs w:val="24"/>
          <w:lang w:val="fr-FR"/>
        </w:rPr>
        <w:t xml:space="preserve"> Law (High </w:t>
      </w:r>
      <w:proofErr w:type="spellStart"/>
      <w:r w:rsidRPr="00C15514">
        <w:rPr>
          <w:rFonts w:ascii="Times New Roman" w:eastAsia="Calibri" w:hAnsi="Times New Roman" w:cs="Times New Roman"/>
          <w:i/>
          <w:sz w:val="24"/>
          <w:szCs w:val="24"/>
          <w:lang w:val="fr-FR"/>
        </w:rPr>
        <w:t>Risk</w:t>
      </w:r>
      <w:proofErr w:type="spellEnd"/>
      <w:r w:rsidRPr="00C15514">
        <w:rPr>
          <w:rFonts w:ascii="Times New Roman" w:eastAsia="Calibri" w:hAnsi="Times New Roman" w:cs="Times New Roman"/>
          <w:i/>
          <w:sz w:val="24"/>
          <w:szCs w:val="24"/>
          <w:lang w:val="fr-FR"/>
        </w:rPr>
        <w:t xml:space="preserve"> </w:t>
      </w:r>
      <w:proofErr w:type="spellStart"/>
      <w:r w:rsidRPr="00C15514">
        <w:rPr>
          <w:rFonts w:ascii="Times New Roman" w:eastAsia="Calibri" w:hAnsi="Times New Roman" w:cs="Times New Roman"/>
          <w:i/>
          <w:sz w:val="24"/>
          <w:szCs w:val="24"/>
          <w:lang w:val="fr-FR"/>
        </w:rPr>
        <w:t>Offenders</w:t>
      </w:r>
      <w:proofErr w:type="spellEnd"/>
      <w:r w:rsidRPr="00C15514">
        <w:rPr>
          <w:rFonts w:ascii="Times New Roman" w:eastAsia="Calibri" w:hAnsi="Times New Roman" w:cs="Times New Roman"/>
          <w:i/>
          <w:sz w:val="24"/>
          <w:szCs w:val="24"/>
          <w:lang w:val="fr-FR"/>
        </w:rPr>
        <w:t xml:space="preserve">) </w:t>
      </w:r>
      <w:proofErr w:type="spellStart"/>
      <w:r w:rsidRPr="00C15514">
        <w:rPr>
          <w:rFonts w:ascii="Times New Roman" w:eastAsia="Calibri" w:hAnsi="Times New Roman" w:cs="Times New Roman"/>
          <w:i/>
          <w:sz w:val="24"/>
          <w:szCs w:val="24"/>
          <w:lang w:val="fr-FR"/>
        </w:rPr>
        <w:t>Act</w:t>
      </w:r>
      <w:proofErr w:type="spellEnd"/>
      <w:r w:rsidRPr="00C15514">
        <w:rPr>
          <w:rFonts w:ascii="Times New Roman" w:eastAsia="Calibri" w:hAnsi="Times New Roman" w:cs="Times New Roman"/>
          <w:i/>
          <w:sz w:val="24"/>
          <w:szCs w:val="24"/>
          <w:lang w:val="fr-FR"/>
        </w:rPr>
        <w:t xml:space="preserve"> 2015 s 19</w:t>
      </w:r>
    </w:p>
    <w:p w:rsidR="00D265D7" w:rsidRDefault="00D265D7" w:rsidP="00D265D7">
      <w:pPr>
        <w:spacing w:after="200" w:line="240" w:lineRule="auto"/>
        <w:rPr>
          <w:rFonts w:ascii="Times New Roman" w:eastAsia="Calibri" w:hAnsi="Times New Roman" w:cs="Times New Roman"/>
          <w:sz w:val="24"/>
          <w:szCs w:val="24"/>
        </w:rPr>
      </w:pPr>
    </w:p>
    <w:p w:rsidR="00D265D7" w:rsidRPr="00C15514" w:rsidRDefault="00D265D7" w:rsidP="00D265D7">
      <w:pPr>
        <w:spacing w:after="200" w:line="240" w:lineRule="auto"/>
        <w:rPr>
          <w:rFonts w:ascii="Times New Roman" w:eastAsia="Calibri" w:hAnsi="Times New Roman" w:cs="Times New Roman"/>
          <w:sz w:val="24"/>
          <w:szCs w:val="24"/>
        </w:rPr>
      </w:pPr>
      <w:r w:rsidRPr="00C15514">
        <w:rPr>
          <w:rFonts w:ascii="Times New Roman" w:eastAsia="Calibri" w:hAnsi="Times New Roman" w:cs="Times New Roman"/>
          <w:sz w:val="24"/>
          <w:szCs w:val="24"/>
        </w:rPr>
        <w:t xml:space="preserve">TO: </w:t>
      </w:r>
      <w:r w:rsidRPr="00C15514">
        <w:rPr>
          <w:rFonts w:ascii="Times New Roman" w:eastAsia="Calibri" w:hAnsi="Times New Roman" w:cs="Times New Roman"/>
          <w:i/>
          <w:sz w:val="24"/>
          <w:szCs w:val="24"/>
        </w:rPr>
        <w:t>THE RESPONDENT</w:t>
      </w:r>
    </w:p>
    <w:p w:rsidR="00D265D7" w:rsidRPr="00C15514" w:rsidRDefault="00D265D7" w:rsidP="00D265D7">
      <w:pPr>
        <w:tabs>
          <w:tab w:val="right" w:pos="8789"/>
        </w:tabs>
        <w:spacing w:after="120" w:line="240" w:lineRule="auto"/>
        <w:rPr>
          <w:rFonts w:ascii="Times New Roman" w:eastAsia="Calibri" w:hAnsi="Times New Roman" w:cs="Times New Roman"/>
          <w:sz w:val="24"/>
          <w:szCs w:val="24"/>
        </w:rPr>
      </w:pPr>
      <w:r w:rsidRPr="00C15514">
        <w:rPr>
          <w:rFonts w:ascii="Times New Roman" w:eastAsia="Calibri" w:hAnsi="Times New Roman" w:cs="Times New Roman"/>
          <w:b/>
          <w:sz w:val="24"/>
          <w:szCs w:val="24"/>
        </w:rPr>
        <w:t>Application</w:t>
      </w:r>
    </w:p>
    <w:p w:rsidR="00D265D7" w:rsidRPr="00C15514" w:rsidRDefault="00D265D7" w:rsidP="00D265D7">
      <w:pPr>
        <w:tabs>
          <w:tab w:val="left" w:pos="1134"/>
          <w:tab w:val="left" w:pos="2342"/>
          <w:tab w:val="left" w:pos="4536"/>
          <w:tab w:val="right" w:pos="878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15514">
        <w:rPr>
          <w:rFonts w:ascii="Times New Roman" w:eastAsia="Times New Roman" w:hAnsi="Times New Roman" w:cs="Times New Roman"/>
          <w:sz w:val="24"/>
          <w:szCs w:val="24"/>
        </w:rPr>
        <w:t xml:space="preserve">The Attorney-General for the State of South Australia/The Parole Board of South Australia </w:t>
      </w:r>
      <w:r w:rsidRPr="00C15514">
        <w:rPr>
          <w:rFonts w:ascii="Times New Roman" w:eastAsia="Times New Roman" w:hAnsi="Times New Roman" w:cs="Times New Roman"/>
          <w:sz w:val="24"/>
          <w:szCs w:val="20"/>
        </w:rPr>
        <w:t>(</w:t>
      </w:r>
      <w:r w:rsidRPr="00C15514">
        <w:rPr>
          <w:rFonts w:ascii="Times New Roman" w:eastAsia="Times New Roman" w:hAnsi="Times New Roman" w:cs="Times New Roman"/>
          <w:i/>
          <w:sz w:val="24"/>
          <w:szCs w:val="20"/>
        </w:rPr>
        <w:t>delete whichever is inapplicable</w:t>
      </w:r>
      <w:r w:rsidRPr="00C15514">
        <w:rPr>
          <w:rFonts w:ascii="Times New Roman" w:eastAsia="Times New Roman" w:hAnsi="Times New Roman" w:cs="Times New Roman"/>
          <w:sz w:val="24"/>
          <w:szCs w:val="20"/>
        </w:rPr>
        <w:t xml:space="preserve">) </w:t>
      </w:r>
      <w:r w:rsidRPr="00C15514">
        <w:rPr>
          <w:rFonts w:ascii="Times New Roman" w:eastAsia="Times New Roman" w:hAnsi="Times New Roman" w:cs="Times New Roman"/>
          <w:sz w:val="24"/>
          <w:szCs w:val="24"/>
        </w:rPr>
        <w:t>seeks the following orders and directions:</w:t>
      </w:r>
    </w:p>
    <w:p w:rsidR="00D265D7" w:rsidRPr="00C15514" w:rsidRDefault="00D265D7" w:rsidP="00D265D7">
      <w:pPr>
        <w:tabs>
          <w:tab w:val="left" w:pos="1134"/>
          <w:tab w:val="left" w:pos="2342"/>
          <w:tab w:val="left" w:pos="4536"/>
          <w:tab w:val="right" w:pos="8789"/>
        </w:tabs>
        <w:overflowPunct w:val="0"/>
        <w:autoSpaceDE w:val="0"/>
        <w:autoSpaceDN w:val="0"/>
        <w:adjustRightInd w:val="0"/>
        <w:spacing w:after="0" w:line="360" w:lineRule="auto"/>
        <w:ind w:left="567"/>
        <w:textAlignment w:val="baseline"/>
        <w:rPr>
          <w:rFonts w:ascii="Times New Roman" w:eastAsia="Times New Roman" w:hAnsi="Times New Roman" w:cs="Times New Roman"/>
          <w:iCs/>
          <w:sz w:val="24"/>
          <w:szCs w:val="24"/>
        </w:rPr>
      </w:pPr>
    </w:p>
    <w:p w:rsidR="00D265D7" w:rsidRPr="00C15514" w:rsidRDefault="00D265D7" w:rsidP="00D265D7">
      <w:pPr>
        <w:numPr>
          <w:ilvl w:val="0"/>
          <w:numId w:val="9"/>
        </w:numPr>
        <w:spacing w:after="0" w:line="360" w:lineRule="auto"/>
        <w:contextualSpacing/>
        <w:rPr>
          <w:rFonts w:ascii="Times New Roman" w:eastAsia="Calibri" w:hAnsi="Times New Roman" w:cs="Times New Roman"/>
          <w:sz w:val="23"/>
          <w:szCs w:val="24"/>
        </w:rPr>
      </w:pPr>
      <w:r w:rsidRPr="00C15514">
        <w:rPr>
          <w:rFonts w:ascii="Times New Roman" w:eastAsia="Calibri" w:hAnsi="Times New Roman" w:cs="Times New Roman"/>
          <w:iCs/>
          <w:sz w:val="23"/>
          <w:szCs w:val="24"/>
        </w:rPr>
        <w:t xml:space="preserve">That the Court vary the Continuing Detention Order by the Supreme Court on…./…./20….; </w:t>
      </w:r>
      <w:r w:rsidRPr="00C15514">
        <w:rPr>
          <w:rFonts w:ascii="Times New Roman" w:eastAsia="Calibri" w:hAnsi="Times New Roman" w:cs="Times New Roman"/>
          <w:i/>
          <w:iCs/>
          <w:sz w:val="23"/>
          <w:szCs w:val="24"/>
        </w:rPr>
        <w:t>or</w:t>
      </w:r>
    </w:p>
    <w:p w:rsidR="00D265D7" w:rsidRPr="00C15514" w:rsidRDefault="00D265D7" w:rsidP="00D265D7">
      <w:pPr>
        <w:numPr>
          <w:ilvl w:val="0"/>
          <w:numId w:val="10"/>
        </w:numPr>
        <w:tabs>
          <w:tab w:val="left" w:pos="1134"/>
          <w:tab w:val="left" w:pos="2342"/>
          <w:tab w:val="left" w:pos="4536"/>
          <w:tab w:val="right" w:pos="8789"/>
        </w:tabs>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rPr>
      </w:pPr>
      <w:r w:rsidRPr="00C15514">
        <w:rPr>
          <w:rFonts w:ascii="Times New Roman" w:eastAsia="Times New Roman" w:hAnsi="Times New Roman" w:cs="Times New Roman"/>
          <w:iCs/>
          <w:sz w:val="24"/>
          <w:szCs w:val="24"/>
        </w:rPr>
        <w:t>That the Court revoke the Continuing Detention Order made by the Supreme Court on…</w:t>
      </w:r>
      <w:proofErr w:type="gramStart"/>
      <w:r w:rsidRPr="00C15514">
        <w:rPr>
          <w:rFonts w:ascii="Times New Roman" w:eastAsia="Times New Roman" w:hAnsi="Times New Roman" w:cs="Times New Roman"/>
          <w:iCs/>
          <w:sz w:val="24"/>
          <w:szCs w:val="24"/>
        </w:rPr>
        <w:t>./</w:t>
      </w:r>
      <w:proofErr w:type="gramEnd"/>
      <w:r w:rsidRPr="00C15514">
        <w:rPr>
          <w:rFonts w:ascii="Times New Roman" w:eastAsia="Times New Roman" w:hAnsi="Times New Roman" w:cs="Times New Roman"/>
          <w:iCs/>
          <w:sz w:val="24"/>
          <w:szCs w:val="24"/>
        </w:rPr>
        <w:t>…./20….</w:t>
      </w:r>
    </w:p>
    <w:p w:rsidR="00D265D7" w:rsidRPr="00C15514" w:rsidRDefault="00D265D7" w:rsidP="00D265D7">
      <w:pPr>
        <w:tabs>
          <w:tab w:val="left" w:pos="1134"/>
          <w:tab w:val="left" w:pos="2342"/>
          <w:tab w:val="left" w:pos="4536"/>
          <w:tab w:val="right" w:pos="8789"/>
        </w:tabs>
        <w:overflowPunct w:val="0"/>
        <w:autoSpaceDE w:val="0"/>
        <w:autoSpaceDN w:val="0"/>
        <w:adjustRightInd w:val="0"/>
        <w:spacing w:after="0" w:line="360" w:lineRule="auto"/>
        <w:ind w:left="567"/>
        <w:textAlignment w:val="baseline"/>
        <w:rPr>
          <w:rFonts w:ascii="Times New Roman" w:eastAsia="Times New Roman" w:hAnsi="Times New Roman" w:cs="Times New Roman"/>
          <w:iCs/>
          <w:sz w:val="24"/>
          <w:szCs w:val="24"/>
        </w:rPr>
      </w:pPr>
      <w:r w:rsidRPr="00C15514">
        <w:rPr>
          <w:rFonts w:ascii="Times New Roman" w:eastAsia="Times New Roman" w:hAnsi="Times New Roman" w:cs="Times New Roman"/>
          <w:sz w:val="24"/>
          <w:szCs w:val="20"/>
        </w:rPr>
        <w:t>(</w:t>
      </w:r>
      <w:proofErr w:type="gramStart"/>
      <w:r w:rsidRPr="00C15514">
        <w:rPr>
          <w:rFonts w:ascii="Times New Roman" w:eastAsia="Times New Roman" w:hAnsi="Times New Roman" w:cs="Times New Roman"/>
          <w:i/>
          <w:sz w:val="24"/>
          <w:szCs w:val="20"/>
        </w:rPr>
        <w:t>delete</w:t>
      </w:r>
      <w:proofErr w:type="gramEnd"/>
      <w:r w:rsidRPr="00C15514">
        <w:rPr>
          <w:rFonts w:ascii="Times New Roman" w:eastAsia="Times New Roman" w:hAnsi="Times New Roman" w:cs="Times New Roman"/>
          <w:i/>
          <w:sz w:val="24"/>
          <w:szCs w:val="20"/>
        </w:rPr>
        <w:t xml:space="preserve"> whichever is inapplicable</w:t>
      </w:r>
      <w:r w:rsidRPr="00C15514">
        <w:rPr>
          <w:rFonts w:ascii="Times New Roman" w:eastAsia="Times New Roman" w:hAnsi="Times New Roman" w:cs="Times New Roman"/>
          <w:sz w:val="24"/>
          <w:szCs w:val="20"/>
        </w:rPr>
        <w:t>)</w:t>
      </w:r>
    </w:p>
    <w:p w:rsidR="00D265D7" w:rsidRPr="00C15514" w:rsidRDefault="00D265D7" w:rsidP="00D265D7">
      <w:pPr>
        <w:tabs>
          <w:tab w:val="left" w:pos="1134"/>
          <w:tab w:val="left" w:pos="2342"/>
          <w:tab w:val="left" w:pos="4536"/>
          <w:tab w:val="right" w:pos="8789"/>
        </w:tabs>
        <w:overflowPunct w:val="0"/>
        <w:autoSpaceDE w:val="0"/>
        <w:autoSpaceDN w:val="0"/>
        <w:adjustRightInd w:val="0"/>
        <w:spacing w:after="0" w:line="240" w:lineRule="auto"/>
        <w:ind w:left="567"/>
        <w:textAlignment w:val="baseline"/>
        <w:rPr>
          <w:rFonts w:ascii="Times New Roman" w:eastAsia="Times New Roman" w:hAnsi="Times New Roman" w:cs="Times New Roman"/>
          <w:b/>
          <w:iCs/>
          <w:sz w:val="24"/>
          <w:szCs w:val="24"/>
        </w:rPr>
      </w:pPr>
      <w:r w:rsidRPr="00C15514">
        <w:rPr>
          <w:rFonts w:ascii="Times New Roman" w:eastAsia="Times New Roman" w:hAnsi="Times New Roman" w:cs="Times New Roman"/>
          <w:b/>
          <w:iCs/>
          <w:sz w:val="24"/>
          <w:szCs w:val="24"/>
        </w:rPr>
        <w:t>OR</w:t>
      </w:r>
    </w:p>
    <w:p w:rsidR="00D265D7" w:rsidRPr="00C15514" w:rsidRDefault="00D265D7" w:rsidP="00D265D7">
      <w:pPr>
        <w:tabs>
          <w:tab w:val="left" w:pos="1134"/>
          <w:tab w:val="left" w:pos="2342"/>
          <w:tab w:val="left" w:pos="4536"/>
          <w:tab w:val="right" w:pos="8789"/>
        </w:tabs>
        <w:overflowPunct w:val="0"/>
        <w:autoSpaceDE w:val="0"/>
        <w:autoSpaceDN w:val="0"/>
        <w:adjustRightInd w:val="0"/>
        <w:spacing w:after="0" w:line="240" w:lineRule="auto"/>
        <w:ind w:left="567"/>
        <w:textAlignment w:val="baseline"/>
        <w:rPr>
          <w:rFonts w:ascii="Times New Roman" w:eastAsia="Times New Roman" w:hAnsi="Times New Roman" w:cs="Times New Roman"/>
          <w:iCs/>
          <w:sz w:val="24"/>
          <w:szCs w:val="24"/>
        </w:rPr>
      </w:pPr>
    </w:p>
    <w:p w:rsidR="00D265D7" w:rsidRPr="00C15514" w:rsidRDefault="00D265D7" w:rsidP="00D265D7">
      <w:pPr>
        <w:tabs>
          <w:tab w:val="right" w:pos="8789"/>
        </w:tabs>
        <w:spacing w:after="120" w:line="276" w:lineRule="auto"/>
        <w:rPr>
          <w:rFonts w:ascii="Times New Roman" w:eastAsia="Calibri" w:hAnsi="Times New Roman" w:cs="Times New Roman"/>
          <w:sz w:val="24"/>
          <w:szCs w:val="24"/>
        </w:rPr>
      </w:pPr>
      <w:r w:rsidRPr="00C15514">
        <w:rPr>
          <w:rFonts w:ascii="Times New Roman" w:eastAsia="Calibri" w:hAnsi="Times New Roman" w:cs="Times New Roman"/>
          <w:b/>
          <w:sz w:val="24"/>
          <w:szCs w:val="24"/>
        </w:rPr>
        <w:t>Application</w:t>
      </w:r>
    </w:p>
    <w:p w:rsidR="00D265D7" w:rsidRPr="00C15514" w:rsidRDefault="00D265D7" w:rsidP="00D265D7">
      <w:pPr>
        <w:spacing w:after="200" w:line="276" w:lineRule="auto"/>
        <w:rPr>
          <w:rFonts w:ascii="Times New Roman" w:eastAsia="Calibri" w:hAnsi="Times New Roman" w:cs="Times New Roman"/>
          <w:sz w:val="24"/>
          <w:szCs w:val="24"/>
        </w:rPr>
      </w:pPr>
      <w:r w:rsidRPr="00C15514">
        <w:rPr>
          <w:rFonts w:ascii="Times New Roman" w:eastAsia="Calibri" w:hAnsi="Times New Roman" w:cs="Times New Roman"/>
          <w:sz w:val="24"/>
          <w:szCs w:val="24"/>
        </w:rPr>
        <w:t>The person subject to the Continuing Detention Order seeks the following orders and directions:</w:t>
      </w:r>
    </w:p>
    <w:p w:rsidR="00D265D7" w:rsidRPr="00C15514" w:rsidRDefault="00D265D7" w:rsidP="00D265D7">
      <w:pPr>
        <w:numPr>
          <w:ilvl w:val="0"/>
          <w:numId w:val="11"/>
        </w:numPr>
        <w:tabs>
          <w:tab w:val="left" w:pos="1134"/>
          <w:tab w:val="left" w:pos="2342"/>
          <w:tab w:val="left" w:pos="4536"/>
          <w:tab w:val="right" w:pos="8789"/>
        </w:tabs>
        <w:spacing w:after="0" w:line="360" w:lineRule="auto"/>
        <w:contextualSpacing/>
        <w:rPr>
          <w:rFonts w:ascii="Times New Roman" w:eastAsia="Calibri" w:hAnsi="Times New Roman" w:cs="Times New Roman"/>
          <w:iCs/>
          <w:sz w:val="23"/>
          <w:szCs w:val="24"/>
        </w:rPr>
      </w:pPr>
      <w:r w:rsidRPr="00C15514">
        <w:rPr>
          <w:rFonts w:ascii="Times New Roman" w:eastAsia="Calibri" w:hAnsi="Times New Roman" w:cs="Times New Roman"/>
          <w:iCs/>
          <w:sz w:val="23"/>
          <w:szCs w:val="24"/>
        </w:rPr>
        <w:t>That permission be granted by the Court for the applicant to apply to vary the Continuing Detention Order made by the Supreme Court on…./…./20….; or</w:t>
      </w:r>
    </w:p>
    <w:p w:rsidR="00D265D7" w:rsidRPr="00C15514" w:rsidRDefault="00D265D7" w:rsidP="00D265D7">
      <w:pPr>
        <w:numPr>
          <w:ilvl w:val="0"/>
          <w:numId w:val="11"/>
        </w:numPr>
        <w:tabs>
          <w:tab w:val="left" w:pos="1134"/>
          <w:tab w:val="left" w:pos="2342"/>
          <w:tab w:val="left" w:pos="4536"/>
          <w:tab w:val="right" w:pos="8789"/>
        </w:tabs>
        <w:spacing w:after="0" w:line="360" w:lineRule="auto"/>
        <w:contextualSpacing/>
        <w:rPr>
          <w:rFonts w:ascii="Times New Roman" w:eastAsia="Calibri" w:hAnsi="Times New Roman" w:cs="Times New Roman"/>
          <w:iCs/>
          <w:sz w:val="23"/>
          <w:szCs w:val="24"/>
        </w:rPr>
      </w:pPr>
      <w:r w:rsidRPr="00C15514">
        <w:rPr>
          <w:rFonts w:ascii="Times New Roman" w:eastAsia="Calibri" w:hAnsi="Times New Roman" w:cs="Times New Roman"/>
          <w:iCs/>
          <w:sz w:val="23"/>
          <w:szCs w:val="24"/>
        </w:rPr>
        <w:t>That permission be granted by the Court for the applicant to apply to revoke the Continuing Detention Order made by the Supreme Court on…./…./20….</w:t>
      </w:r>
    </w:p>
    <w:p w:rsidR="00D265D7" w:rsidRPr="00C15514" w:rsidRDefault="00D265D7" w:rsidP="00D265D7">
      <w:pPr>
        <w:tabs>
          <w:tab w:val="left" w:pos="1134"/>
          <w:tab w:val="left" w:pos="2342"/>
          <w:tab w:val="left" w:pos="4536"/>
          <w:tab w:val="right" w:pos="8789"/>
        </w:tabs>
        <w:spacing w:after="0" w:line="360" w:lineRule="auto"/>
        <w:ind w:left="720"/>
        <w:contextualSpacing/>
        <w:rPr>
          <w:rFonts w:ascii="Times New Roman" w:eastAsia="Calibri" w:hAnsi="Times New Roman" w:cs="Times New Roman"/>
          <w:iCs/>
          <w:sz w:val="23"/>
          <w:szCs w:val="24"/>
        </w:rPr>
      </w:pPr>
      <w:r w:rsidRPr="00C15514">
        <w:rPr>
          <w:rFonts w:ascii="Times New Roman" w:eastAsia="Calibri" w:hAnsi="Times New Roman" w:cs="Times New Roman"/>
          <w:iCs/>
          <w:sz w:val="23"/>
          <w:szCs w:val="24"/>
        </w:rPr>
        <w:t>(</w:t>
      </w:r>
      <w:proofErr w:type="gramStart"/>
      <w:r w:rsidRPr="00C15514">
        <w:rPr>
          <w:rFonts w:ascii="Times New Roman" w:eastAsia="Calibri" w:hAnsi="Times New Roman" w:cs="Times New Roman"/>
          <w:i/>
          <w:iCs/>
          <w:sz w:val="23"/>
          <w:szCs w:val="24"/>
        </w:rPr>
        <w:t>delete</w:t>
      </w:r>
      <w:proofErr w:type="gramEnd"/>
      <w:r w:rsidRPr="00C15514">
        <w:rPr>
          <w:rFonts w:ascii="Times New Roman" w:eastAsia="Calibri" w:hAnsi="Times New Roman" w:cs="Times New Roman"/>
          <w:i/>
          <w:iCs/>
          <w:sz w:val="23"/>
          <w:szCs w:val="24"/>
        </w:rPr>
        <w:t xml:space="preserve"> whichever is inapplicable</w:t>
      </w:r>
      <w:r w:rsidRPr="00C15514">
        <w:rPr>
          <w:rFonts w:ascii="Times New Roman" w:eastAsia="Calibri" w:hAnsi="Times New Roman" w:cs="Times New Roman"/>
          <w:iCs/>
          <w:sz w:val="23"/>
          <w:szCs w:val="24"/>
        </w:rPr>
        <w:t>)</w:t>
      </w:r>
    </w:p>
    <w:p w:rsidR="00D265D7" w:rsidRPr="00C15514" w:rsidRDefault="00D265D7" w:rsidP="00D265D7">
      <w:pPr>
        <w:tabs>
          <w:tab w:val="left" w:pos="1134"/>
          <w:tab w:val="left" w:pos="2342"/>
          <w:tab w:val="left" w:pos="4536"/>
          <w:tab w:val="right" w:pos="8789"/>
        </w:tabs>
        <w:overflowPunct w:val="0"/>
        <w:autoSpaceDE w:val="0"/>
        <w:autoSpaceDN w:val="0"/>
        <w:adjustRightInd w:val="0"/>
        <w:spacing w:after="0" w:line="240" w:lineRule="auto"/>
        <w:ind w:left="567"/>
        <w:textAlignment w:val="baseline"/>
        <w:rPr>
          <w:rFonts w:ascii="Times New Roman" w:eastAsia="Times New Roman" w:hAnsi="Times New Roman" w:cs="Times New Roman"/>
          <w:sz w:val="24"/>
          <w:szCs w:val="20"/>
        </w:rPr>
      </w:pPr>
    </w:p>
    <w:p w:rsidR="00D265D7" w:rsidRPr="00C15514" w:rsidRDefault="00D265D7" w:rsidP="00D265D7">
      <w:pPr>
        <w:tabs>
          <w:tab w:val="right" w:pos="8789"/>
        </w:tabs>
        <w:spacing w:after="200" w:line="240" w:lineRule="auto"/>
        <w:rPr>
          <w:rFonts w:ascii="Times New Roman" w:eastAsia="Calibri" w:hAnsi="Times New Roman" w:cs="Times New Roman"/>
          <w:b/>
          <w:sz w:val="24"/>
          <w:szCs w:val="24"/>
        </w:rPr>
      </w:pPr>
      <w:r w:rsidRPr="00C15514">
        <w:rPr>
          <w:rFonts w:ascii="Times New Roman" w:eastAsia="Calibri" w:hAnsi="Times New Roman" w:cs="Times New Roman"/>
          <w:b/>
          <w:iCs/>
          <w:sz w:val="24"/>
          <w:szCs w:val="24"/>
        </w:rPr>
        <w:t>End</w:t>
      </w:r>
      <w:r w:rsidRPr="00C15514">
        <w:rPr>
          <w:rFonts w:ascii="Times New Roman" w:eastAsia="Calibri" w:hAnsi="Times New Roman" w:cs="Times New Roman"/>
          <w:b/>
          <w:sz w:val="24"/>
          <w:szCs w:val="24"/>
        </w:rPr>
        <w:t>orsements</w:t>
      </w:r>
    </w:p>
    <w:p w:rsidR="00D265D7" w:rsidRPr="00C15514" w:rsidRDefault="00D265D7" w:rsidP="00D265D7">
      <w:pPr>
        <w:tabs>
          <w:tab w:val="right" w:pos="8789"/>
        </w:tabs>
        <w:spacing w:before="100" w:beforeAutospacing="1" w:after="100" w:afterAutospacing="1" w:line="360" w:lineRule="auto"/>
        <w:rPr>
          <w:rFonts w:ascii="Times New Roman" w:eastAsia="Calibri" w:hAnsi="Times New Roman" w:cs="Times New Roman"/>
          <w:sz w:val="24"/>
          <w:szCs w:val="24"/>
        </w:rPr>
      </w:pPr>
      <w:r w:rsidRPr="00C15514">
        <w:rPr>
          <w:rFonts w:ascii="Times New Roman" w:eastAsia="Calibri" w:hAnsi="Times New Roman" w:cs="Times New Roman"/>
          <w:sz w:val="24"/>
          <w:szCs w:val="24"/>
        </w:rPr>
        <w:t xml:space="preserve">Application made pursuant to section 19(1) of the </w:t>
      </w:r>
      <w:r w:rsidRPr="00C15514">
        <w:rPr>
          <w:rFonts w:ascii="Times New Roman" w:eastAsia="Calibri" w:hAnsi="Times New Roman" w:cs="Times New Roman"/>
          <w:i/>
          <w:sz w:val="24"/>
          <w:szCs w:val="24"/>
        </w:rPr>
        <w:t>Criminal Law (High Risk Offenders) Act 2015</w:t>
      </w:r>
      <w:r w:rsidRPr="00C15514">
        <w:rPr>
          <w:rFonts w:ascii="Times New Roman" w:eastAsia="Calibri" w:hAnsi="Times New Roman" w:cs="Times New Roman"/>
          <w:sz w:val="24"/>
          <w:szCs w:val="24"/>
        </w:rPr>
        <w:t>.</w:t>
      </w:r>
    </w:p>
    <w:p w:rsidR="00D265D7" w:rsidRPr="00C15514" w:rsidRDefault="00D265D7" w:rsidP="00D265D7">
      <w:pPr>
        <w:tabs>
          <w:tab w:val="right" w:pos="8789"/>
        </w:tabs>
        <w:spacing w:after="120" w:line="276" w:lineRule="auto"/>
        <w:rPr>
          <w:rFonts w:ascii="Times New Roman" w:eastAsia="Calibri" w:hAnsi="Times New Roman" w:cs="Times New Roman"/>
          <w:sz w:val="24"/>
          <w:szCs w:val="24"/>
        </w:rPr>
      </w:pPr>
      <w:r w:rsidRPr="00C15514">
        <w:rPr>
          <w:rFonts w:ascii="Times New Roman" w:eastAsia="Calibri" w:hAnsi="Times New Roman" w:cs="Times New Roman"/>
          <w:b/>
          <w:sz w:val="24"/>
          <w:szCs w:val="24"/>
        </w:rPr>
        <w:t>Grounds</w:t>
      </w:r>
    </w:p>
    <w:p w:rsidR="00D265D7" w:rsidRPr="00C15514" w:rsidRDefault="00D265D7" w:rsidP="00D265D7">
      <w:pPr>
        <w:spacing w:after="0" w:line="360" w:lineRule="auto"/>
        <w:rPr>
          <w:rFonts w:ascii="Times New Roman" w:eastAsia="Calibri" w:hAnsi="Times New Roman" w:cs="Times New Roman"/>
          <w:sz w:val="24"/>
          <w:szCs w:val="24"/>
          <w:lang w:val="en-US"/>
        </w:rPr>
      </w:pPr>
      <w:r w:rsidRPr="00C15514">
        <w:rPr>
          <w:rFonts w:ascii="Times New Roman" w:eastAsia="Calibri" w:hAnsi="Times New Roman" w:cs="Times New Roman"/>
          <w:sz w:val="24"/>
          <w:szCs w:val="24"/>
        </w:rPr>
        <w:t xml:space="preserve">The grounds relied upon are as follows: </w:t>
      </w:r>
    </w:p>
    <w:p w:rsidR="00D265D7" w:rsidRPr="00C15514" w:rsidRDefault="00D265D7" w:rsidP="00D265D7">
      <w:pPr>
        <w:numPr>
          <w:ilvl w:val="0"/>
          <w:numId w:val="12"/>
        </w:numPr>
        <w:tabs>
          <w:tab w:val="right" w:pos="8789"/>
        </w:tabs>
        <w:spacing w:after="120" w:line="360" w:lineRule="auto"/>
        <w:contextualSpacing/>
        <w:rPr>
          <w:rFonts w:ascii="Times New Roman" w:eastAsia="Calibri" w:hAnsi="Times New Roman" w:cs="Times New Roman"/>
          <w:sz w:val="24"/>
          <w:szCs w:val="24"/>
        </w:rPr>
      </w:pPr>
      <w:r w:rsidRPr="00C15514">
        <w:rPr>
          <w:rFonts w:ascii="Times New Roman" w:eastAsia="Calibri" w:hAnsi="Times New Roman" w:cs="Times New Roman"/>
          <w:sz w:val="24"/>
          <w:szCs w:val="24"/>
        </w:rPr>
        <w:lastRenderedPageBreak/>
        <w:t>The applicant/respondent was made subject to an Extended Supervision Order on …./…./20….by Justice ………………, the order commencing on   …/…</w:t>
      </w:r>
      <w:proofErr w:type="gramStart"/>
      <w:r w:rsidRPr="00C15514">
        <w:rPr>
          <w:rFonts w:ascii="Times New Roman" w:eastAsia="Calibri" w:hAnsi="Times New Roman" w:cs="Times New Roman"/>
          <w:sz w:val="24"/>
          <w:szCs w:val="24"/>
        </w:rPr>
        <w:t>./</w:t>
      </w:r>
      <w:proofErr w:type="gramEnd"/>
      <w:r w:rsidRPr="00C15514">
        <w:rPr>
          <w:rFonts w:ascii="Times New Roman" w:eastAsia="Calibri" w:hAnsi="Times New Roman" w:cs="Times New Roman"/>
          <w:sz w:val="24"/>
          <w:szCs w:val="24"/>
        </w:rPr>
        <w:t>20…. for a period of………….years.</w:t>
      </w:r>
    </w:p>
    <w:p w:rsidR="00D265D7" w:rsidRPr="00C15514" w:rsidRDefault="00D265D7" w:rsidP="00D265D7">
      <w:pPr>
        <w:tabs>
          <w:tab w:val="right" w:pos="8789"/>
        </w:tabs>
        <w:spacing w:after="120" w:line="360" w:lineRule="auto"/>
        <w:ind w:left="720"/>
        <w:contextualSpacing/>
        <w:rPr>
          <w:rFonts w:ascii="Times New Roman" w:eastAsia="Calibri" w:hAnsi="Times New Roman" w:cs="Times New Roman"/>
          <w:sz w:val="24"/>
          <w:szCs w:val="24"/>
        </w:rPr>
      </w:pPr>
    </w:p>
    <w:p w:rsidR="00D265D7" w:rsidRPr="00C15514" w:rsidRDefault="00D265D7" w:rsidP="00D265D7">
      <w:pPr>
        <w:numPr>
          <w:ilvl w:val="0"/>
          <w:numId w:val="12"/>
        </w:numPr>
        <w:tabs>
          <w:tab w:val="right" w:pos="8789"/>
        </w:tabs>
        <w:spacing w:after="0" w:line="360" w:lineRule="auto"/>
        <w:contextualSpacing/>
        <w:rPr>
          <w:rFonts w:ascii="Times New Roman" w:eastAsia="Calibri" w:hAnsi="Times New Roman" w:cs="Times New Roman"/>
          <w:sz w:val="24"/>
          <w:szCs w:val="24"/>
        </w:rPr>
      </w:pPr>
      <w:r w:rsidRPr="00C15514">
        <w:rPr>
          <w:rFonts w:ascii="Times New Roman" w:eastAsia="Calibri" w:hAnsi="Times New Roman" w:cs="Times New Roman"/>
          <w:sz w:val="24"/>
          <w:szCs w:val="24"/>
        </w:rPr>
        <w:t>The Extended Supervision Order was revoked on …/…</w:t>
      </w:r>
      <w:proofErr w:type="gramStart"/>
      <w:r w:rsidRPr="00C15514">
        <w:rPr>
          <w:rFonts w:ascii="Times New Roman" w:eastAsia="Calibri" w:hAnsi="Times New Roman" w:cs="Times New Roman"/>
          <w:sz w:val="24"/>
          <w:szCs w:val="24"/>
        </w:rPr>
        <w:t>./</w:t>
      </w:r>
      <w:proofErr w:type="gramEnd"/>
      <w:r w:rsidRPr="00C15514">
        <w:rPr>
          <w:rFonts w:ascii="Times New Roman" w:eastAsia="Calibri" w:hAnsi="Times New Roman" w:cs="Times New Roman"/>
          <w:sz w:val="24"/>
          <w:szCs w:val="24"/>
        </w:rPr>
        <w:t>20…. and an order made for Continuing Detention was made, commencing on   …./…/20   and due to expire on  …../…</w:t>
      </w:r>
      <w:proofErr w:type="gramStart"/>
      <w:r w:rsidRPr="00C15514">
        <w:rPr>
          <w:rFonts w:ascii="Times New Roman" w:eastAsia="Calibri" w:hAnsi="Times New Roman" w:cs="Times New Roman"/>
          <w:sz w:val="24"/>
          <w:szCs w:val="24"/>
        </w:rPr>
        <w:t>./</w:t>
      </w:r>
      <w:proofErr w:type="gramEnd"/>
      <w:r w:rsidRPr="00C15514">
        <w:rPr>
          <w:rFonts w:ascii="Times New Roman" w:eastAsia="Calibri" w:hAnsi="Times New Roman" w:cs="Times New Roman"/>
          <w:sz w:val="24"/>
          <w:szCs w:val="24"/>
        </w:rPr>
        <w:t>20….</w:t>
      </w:r>
    </w:p>
    <w:p w:rsidR="00D265D7" w:rsidRPr="00C15514" w:rsidRDefault="00D265D7" w:rsidP="00D265D7">
      <w:pPr>
        <w:tabs>
          <w:tab w:val="right" w:pos="8789"/>
        </w:tabs>
        <w:spacing w:after="0" w:line="360" w:lineRule="auto"/>
        <w:rPr>
          <w:rFonts w:ascii="Times New Roman" w:eastAsia="Calibri" w:hAnsi="Times New Roman" w:cs="Times New Roman"/>
          <w:sz w:val="24"/>
          <w:szCs w:val="24"/>
        </w:rPr>
      </w:pPr>
    </w:p>
    <w:p w:rsidR="00D265D7" w:rsidRPr="00C15514" w:rsidRDefault="00D265D7" w:rsidP="00D265D7">
      <w:pPr>
        <w:numPr>
          <w:ilvl w:val="0"/>
          <w:numId w:val="12"/>
        </w:numPr>
        <w:tabs>
          <w:tab w:val="right" w:pos="8789"/>
        </w:tabs>
        <w:spacing w:after="120" w:line="360" w:lineRule="auto"/>
        <w:contextualSpacing/>
        <w:rPr>
          <w:rFonts w:ascii="Times New Roman" w:eastAsia="Calibri" w:hAnsi="Times New Roman" w:cs="Times New Roman"/>
          <w:sz w:val="24"/>
          <w:szCs w:val="24"/>
        </w:rPr>
      </w:pPr>
      <w:r w:rsidRPr="00C15514">
        <w:rPr>
          <w:rFonts w:ascii="Times New Roman" w:eastAsia="Calibri" w:hAnsi="Times New Roman" w:cs="Times New Roman"/>
          <w:sz w:val="24"/>
          <w:szCs w:val="24"/>
        </w:rPr>
        <w:t xml:space="preserve">The variation to the Extended Supervision Order sought is: ....................................... </w:t>
      </w:r>
      <w:r w:rsidRPr="00C15514">
        <w:rPr>
          <w:rFonts w:ascii="Times New Roman" w:eastAsia="Calibri" w:hAnsi="Times New Roman" w:cs="Times New Roman"/>
          <w:i/>
          <w:sz w:val="24"/>
          <w:szCs w:val="24"/>
        </w:rPr>
        <w:t>(delete if inapplicable)</w:t>
      </w:r>
      <w:r w:rsidRPr="00C15514">
        <w:rPr>
          <w:rFonts w:ascii="Times New Roman" w:eastAsia="Calibri" w:hAnsi="Times New Roman" w:cs="Times New Roman"/>
          <w:sz w:val="24"/>
          <w:szCs w:val="24"/>
        </w:rPr>
        <w:t xml:space="preserve"> </w:t>
      </w:r>
    </w:p>
    <w:p w:rsidR="00D265D7" w:rsidRPr="00C15514" w:rsidRDefault="00D265D7" w:rsidP="00D265D7">
      <w:pPr>
        <w:tabs>
          <w:tab w:val="right" w:pos="8789"/>
        </w:tabs>
        <w:spacing w:after="120" w:line="360" w:lineRule="auto"/>
        <w:rPr>
          <w:rFonts w:ascii="Times New Roman" w:eastAsia="Calibri" w:hAnsi="Times New Roman" w:cs="Times New Roman"/>
          <w:sz w:val="24"/>
          <w:szCs w:val="24"/>
        </w:rPr>
      </w:pPr>
    </w:p>
    <w:p w:rsidR="00D265D7" w:rsidRPr="00C15514" w:rsidRDefault="00D265D7" w:rsidP="00D265D7">
      <w:pPr>
        <w:numPr>
          <w:ilvl w:val="0"/>
          <w:numId w:val="12"/>
        </w:numPr>
        <w:tabs>
          <w:tab w:val="right" w:pos="8789"/>
        </w:tabs>
        <w:spacing w:after="120" w:line="360" w:lineRule="auto"/>
        <w:contextualSpacing/>
        <w:rPr>
          <w:rFonts w:ascii="Times New Roman" w:eastAsia="Calibri" w:hAnsi="Times New Roman" w:cs="Times New Roman"/>
          <w:sz w:val="24"/>
          <w:szCs w:val="24"/>
        </w:rPr>
      </w:pPr>
      <w:r w:rsidRPr="00C15514">
        <w:rPr>
          <w:rFonts w:ascii="Times New Roman" w:eastAsia="Calibri" w:hAnsi="Times New Roman" w:cs="Times New Roman"/>
          <w:sz w:val="24"/>
          <w:szCs w:val="24"/>
        </w:rPr>
        <w:t xml:space="preserve">The grounds for revoking/varying </w:t>
      </w:r>
      <w:r w:rsidRPr="00C15514">
        <w:rPr>
          <w:rFonts w:ascii="Times New Roman" w:eastAsia="Calibri" w:hAnsi="Times New Roman" w:cs="Times New Roman"/>
          <w:iCs/>
          <w:sz w:val="23"/>
          <w:szCs w:val="24"/>
        </w:rPr>
        <w:t>(</w:t>
      </w:r>
      <w:r w:rsidRPr="00C15514">
        <w:rPr>
          <w:rFonts w:ascii="Times New Roman" w:eastAsia="Calibri" w:hAnsi="Times New Roman" w:cs="Times New Roman"/>
          <w:i/>
          <w:iCs/>
          <w:sz w:val="23"/>
          <w:szCs w:val="24"/>
        </w:rPr>
        <w:t>delete whichever is inapplicable</w:t>
      </w:r>
      <w:r w:rsidRPr="00C15514">
        <w:rPr>
          <w:rFonts w:ascii="Times New Roman" w:eastAsia="Calibri" w:hAnsi="Times New Roman" w:cs="Times New Roman"/>
          <w:iCs/>
          <w:sz w:val="23"/>
          <w:szCs w:val="24"/>
        </w:rPr>
        <w:t xml:space="preserve">) </w:t>
      </w:r>
      <w:r w:rsidRPr="00C15514">
        <w:rPr>
          <w:rFonts w:ascii="Times New Roman" w:eastAsia="Calibri" w:hAnsi="Times New Roman" w:cs="Times New Roman"/>
          <w:sz w:val="24"/>
          <w:szCs w:val="24"/>
        </w:rPr>
        <w:t>the order are: .......................................</w:t>
      </w:r>
    </w:p>
    <w:p w:rsidR="00D265D7" w:rsidRPr="00C15514" w:rsidRDefault="00D265D7" w:rsidP="00D265D7">
      <w:pPr>
        <w:tabs>
          <w:tab w:val="right" w:pos="8789"/>
        </w:tabs>
        <w:spacing w:after="120" w:line="276" w:lineRule="auto"/>
        <w:rPr>
          <w:rFonts w:ascii="Times New Roman" w:eastAsia="Calibri" w:hAnsi="Times New Roman" w:cs="Times New Roman"/>
          <w:b/>
          <w:sz w:val="24"/>
          <w:szCs w:val="24"/>
        </w:rPr>
      </w:pPr>
    </w:p>
    <w:p w:rsidR="00D265D7" w:rsidRPr="00C15514" w:rsidRDefault="00D265D7" w:rsidP="00D265D7">
      <w:pPr>
        <w:tabs>
          <w:tab w:val="right" w:pos="8789"/>
        </w:tabs>
        <w:spacing w:after="120" w:line="276" w:lineRule="auto"/>
        <w:rPr>
          <w:rFonts w:ascii="Times New Roman" w:eastAsia="Calibri" w:hAnsi="Times New Roman" w:cs="Times New Roman"/>
          <w:sz w:val="24"/>
          <w:szCs w:val="24"/>
        </w:rPr>
      </w:pPr>
      <w:r w:rsidRPr="00C15514">
        <w:rPr>
          <w:rFonts w:ascii="Times New Roman" w:eastAsia="Calibri" w:hAnsi="Times New Roman" w:cs="Times New Roman"/>
          <w:b/>
          <w:sz w:val="24"/>
          <w:szCs w:val="24"/>
        </w:rPr>
        <w:t>Date</w:t>
      </w:r>
      <w:r w:rsidRPr="00C15514">
        <w:rPr>
          <w:rFonts w:ascii="Times New Roman" w:eastAsia="Calibri" w:hAnsi="Times New Roman" w:cs="Times New Roman"/>
          <w:sz w:val="24"/>
          <w:szCs w:val="24"/>
        </w:rPr>
        <w:t>:</w:t>
      </w:r>
    </w:p>
    <w:p w:rsidR="00D265D7" w:rsidRPr="00C15514" w:rsidRDefault="00D265D7" w:rsidP="00D265D7">
      <w:pPr>
        <w:spacing w:after="0" w:line="276" w:lineRule="auto"/>
        <w:rPr>
          <w:rFonts w:ascii="Times New Roman" w:eastAsia="Calibri" w:hAnsi="Times New Roman" w:cs="Times New Roman"/>
          <w:sz w:val="24"/>
          <w:szCs w:val="24"/>
        </w:rPr>
      </w:pPr>
      <w:r w:rsidRPr="00C15514">
        <w:rPr>
          <w:rFonts w:ascii="Times New Roman" w:eastAsia="Calibri" w:hAnsi="Times New Roman" w:cs="Times New Roman"/>
          <w:sz w:val="24"/>
          <w:szCs w:val="24"/>
        </w:rPr>
        <w:t xml:space="preserve"> (</w:t>
      </w:r>
      <w:proofErr w:type="gramStart"/>
      <w:r w:rsidRPr="00C15514">
        <w:rPr>
          <w:rFonts w:ascii="Times New Roman" w:eastAsia="Calibri" w:hAnsi="Times New Roman" w:cs="Times New Roman"/>
          <w:i/>
          <w:sz w:val="24"/>
          <w:szCs w:val="24"/>
        </w:rPr>
        <w:t>signed</w:t>
      </w:r>
      <w:proofErr w:type="gramEnd"/>
      <w:r w:rsidRPr="00C15514">
        <w:rPr>
          <w:rFonts w:ascii="Times New Roman" w:eastAsia="Calibri" w:hAnsi="Times New Roman" w:cs="Times New Roman"/>
          <w:sz w:val="24"/>
          <w:szCs w:val="24"/>
        </w:rPr>
        <w:t>)</w:t>
      </w:r>
      <w:r w:rsidRPr="00C15514">
        <w:rPr>
          <w:rFonts w:ascii="Times New Roman" w:eastAsia="Calibri" w:hAnsi="Times New Roman" w:cs="Times New Roman"/>
          <w:sz w:val="24"/>
          <w:szCs w:val="24"/>
        </w:rPr>
        <w:tab/>
        <w:t>...........................…………………………….……</w:t>
      </w:r>
    </w:p>
    <w:p w:rsidR="00D265D7" w:rsidRPr="00C15514" w:rsidRDefault="00D265D7" w:rsidP="00D265D7">
      <w:pPr>
        <w:spacing w:after="200" w:line="360" w:lineRule="auto"/>
        <w:ind w:left="1440"/>
        <w:rPr>
          <w:rFonts w:ascii="Times New Roman" w:eastAsia="Calibri" w:hAnsi="Times New Roman" w:cs="Times New Roman"/>
          <w:sz w:val="24"/>
          <w:szCs w:val="24"/>
        </w:rPr>
      </w:pPr>
      <w:r w:rsidRPr="00C15514">
        <w:rPr>
          <w:rFonts w:ascii="Times New Roman" w:eastAsia="Calibri" w:hAnsi="Times New Roman" w:cs="Times New Roman"/>
          <w:sz w:val="24"/>
          <w:szCs w:val="24"/>
        </w:rPr>
        <w:t xml:space="preserve">Solicitor for the Applicant, Attorney-General for the State of South Australia/Parole Board of South Australia/Applicant </w:t>
      </w:r>
      <w:r w:rsidRPr="00C15514">
        <w:rPr>
          <w:rFonts w:ascii="Times New Roman" w:eastAsia="Calibri" w:hAnsi="Times New Roman" w:cs="Times New Roman"/>
          <w:iCs/>
          <w:sz w:val="24"/>
          <w:szCs w:val="24"/>
        </w:rPr>
        <w:t>(</w:t>
      </w:r>
      <w:r w:rsidRPr="00C15514">
        <w:rPr>
          <w:rFonts w:ascii="Times New Roman" w:eastAsia="Calibri" w:hAnsi="Times New Roman" w:cs="Times New Roman"/>
          <w:i/>
          <w:iCs/>
          <w:sz w:val="24"/>
          <w:szCs w:val="24"/>
        </w:rPr>
        <w:t>delete whichever is inapplicable</w:t>
      </w:r>
      <w:r w:rsidRPr="00C15514">
        <w:rPr>
          <w:rFonts w:ascii="Times New Roman" w:eastAsia="Calibri" w:hAnsi="Times New Roman" w:cs="Times New Roman"/>
          <w:iCs/>
          <w:sz w:val="24"/>
          <w:szCs w:val="24"/>
        </w:rPr>
        <w:t>)</w:t>
      </w:r>
    </w:p>
    <w:p w:rsidR="00D265D7" w:rsidRPr="00C15514" w:rsidRDefault="00D265D7" w:rsidP="00D265D7">
      <w:pPr>
        <w:spacing w:after="0" w:line="240" w:lineRule="auto"/>
        <w:rPr>
          <w:rFonts w:ascii="Times New Roman" w:eastAsia="Calibri" w:hAnsi="Times New Roman" w:cs="Times New Roman"/>
          <w:sz w:val="24"/>
          <w:szCs w:val="24"/>
        </w:rPr>
      </w:pPr>
      <w:r w:rsidRPr="00C15514">
        <w:rPr>
          <w:rFonts w:ascii="Times New Roman" w:eastAsia="Calibri" w:hAnsi="Times New Roman" w:cs="Times New Roman"/>
          <w:b/>
          <w:sz w:val="24"/>
          <w:szCs w:val="24"/>
        </w:rPr>
        <w:t>Hearing</w:t>
      </w:r>
    </w:p>
    <w:p w:rsidR="00D265D7" w:rsidRPr="00C15514" w:rsidRDefault="00D265D7" w:rsidP="00D265D7">
      <w:pPr>
        <w:spacing w:after="360" w:line="360" w:lineRule="auto"/>
        <w:rPr>
          <w:rFonts w:ascii="Times New Roman" w:eastAsia="Calibri" w:hAnsi="Times New Roman" w:cs="Times New Roman"/>
          <w:sz w:val="24"/>
          <w:szCs w:val="23"/>
        </w:rPr>
      </w:pPr>
      <w:r w:rsidRPr="00C15514">
        <w:rPr>
          <w:rFonts w:ascii="Times New Roman" w:eastAsia="Calibri" w:hAnsi="Times New Roman" w:cs="Times New Roman"/>
          <w:sz w:val="24"/>
          <w:szCs w:val="23"/>
        </w:rPr>
        <w:t xml:space="preserve">This application will be heard before a Justice of the Supreme Court at Adelaide on                   .................. at …… or so soon afterwards as the business of the Court allows. </w:t>
      </w:r>
    </w:p>
    <w:p w:rsidR="00D265D7" w:rsidRPr="00C15514" w:rsidRDefault="00D265D7" w:rsidP="00D265D7">
      <w:pPr>
        <w:spacing w:after="0" w:line="240" w:lineRule="auto"/>
        <w:rPr>
          <w:rFonts w:ascii="Times New Roman" w:eastAsia="Calibri" w:hAnsi="Times New Roman" w:cs="Times New Roman"/>
          <w:sz w:val="24"/>
          <w:szCs w:val="24"/>
        </w:rPr>
      </w:pPr>
      <w:r w:rsidRPr="00C15514">
        <w:rPr>
          <w:rFonts w:ascii="Times New Roman" w:eastAsia="Calibri" w:hAnsi="Times New Roman" w:cs="Times New Roman"/>
          <w:sz w:val="24"/>
          <w:szCs w:val="24"/>
        </w:rPr>
        <w:t>The courtroom in which the application will be heard will be published:</w:t>
      </w:r>
    </w:p>
    <w:p w:rsidR="00D265D7" w:rsidRPr="00C15514" w:rsidRDefault="00D265D7" w:rsidP="00D265D7">
      <w:pPr>
        <w:numPr>
          <w:ilvl w:val="0"/>
          <w:numId w:val="8"/>
        </w:numPr>
        <w:spacing w:after="0" w:line="240" w:lineRule="auto"/>
        <w:contextualSpacing/>
        <w:rPr>
          <w:rFonts w:ascii="Times New Roman" w:eastAsia="Calibri" w:hAnsi="Times New Roman" w:cs="Times New Roman"/>
          <w:sz w:val="24"/>
          <w:szCs w:val="24"/>
        </w:rPr>
      </w:pPr>
      <w:r w:rsidRPr="00C15514">
        <w:rPr>
          <w:rFonts w:ascii="Times New Roman" w:eastAsia="Calibri" w:hAnsi="Times New Roman" w:cs="Times New Roman"/>
          <w:sz w:val="24"/>
          <w:szCs w:val="24"/>
        </w:rPr>
        <w:t>on the Courts Administration Authority website the day before;</w:t>
      </w:r>
    </w:p>
    <w:p w:rsidR="00D265D7" w:rsidRPr="00C15514" w:rsidRDefault="00D265D7" w:rsidP="00D265D7">
      <w:pPr>
        <w:numPr>
          <w:ilvl w:val="0"/>
          <w:numId w:val="8"/>
        </w:numPr>
        <w:spacing w:after="0" w:line="240" w:lineRule="auto"/>
        <w:contextualSpacing/>
        <w:rPr>
          <w:rFonts w:ascii="Times New Roman" w:eastAsia="Calibri" w:hAnsi="Times New Roman" w:cs="Times New Roman"/>
          <w:sz w:val="24"/>
          <w:szCs w:val="24"/>
        </w:rPr>
      </w:pPr>
      <w:r w:rsidRPr="00C15514">
        <w:rPr>
          <w:rFonts w:ascii="Times New Roman" w:eastAsia="Calibri" w:hAnsi="Times New Roman" w:cs="Times New Roman"/>
          <w:sz w:val="24"/>
          <w:szCs w:val="24"/>
        </w:rPr>
        <w:t>in the Advertiser on the day; and</w:t>
      </w:r>
    </w:p>
    <w:p w:rsidR="00D265D7" w:rsidRPr="00C15514" w:rsidRDefault="00D265D7" w:rsidP="00D265D7">
      <w:pPr>
        <w:numPr>
          <w:ilvl w:val="0"/>
          <w:numId w:val="7"/>
        </w:numPr>
        <w:spacing w:after="360" w:line="240" w:lineRule="auto"/>
        <w:ind w:left="714" w:hanging="357"/>
        <w:contextualSpacing/>
        <w:rPr>
          <w:rFonts w:ascii="Times New Roman" w:eastAsia="Calibri" w:hAnsi="Times New Roman" w:cs="Times New Roman"/>
          <w:sz w:val="24"/>
          <w:szCs w:val="24"/>
        </w:rPr>
      </w:pPr>
      <w:proofErr w:type="gramStart"/>
      <w:r w:rsidRPr="00C15514">
        <w:rPr>
          <w:rFonts w:ascii="Times New Roman" w:eastAsia="Calibri" w:hAnsi="Times New Roman" w:cs="Times New Roman"/>
          <w:sz w:val="24"/>
          <w:szCs w:val="24"/>
        </w:rPr>
        <w:t>on</w:t>
      </w:r>
      <w:proofErr w:type="gramEnd"/>
      <w:r w:rsidRPr="00C15514">
        <w:rPr>
          <w:rFonts w:ascii="Times New Roman" w:eastAsia="Calibri" w:hAnsi="Times New Roman" w:cs="Times New Roman"/>
          <w:sz w:val="24"/>
          <w:szCs w:val="24"/>
        </w:rPr>
        <w:t xml:space="preserve"> the notice board at the Courts Building.</w:t>
      </w:r>
    </w:p>
    <w:p w:rsidR="00D265D7" w:rsidRPr="00C15514" w:rsidRDefault="00D265D7" w:rsidP="00D265D7">
      <w:pPr>
        <w:spacing w:after="0" w:line="276" w:lineRule="auto"/>
        <w:rPr>
          <w:rFonts w:ascii="Times New Roman" w:eastAsia="Calibri" w:hAnsi="Times New Roman" w:cs="Times New Roman"/>
          <w:sz w:val="24"/>
          <w:szCs w:val="24"/>
        </w:rPr>
      </w:pPr>
    </w:p>
    <w:p w:rsidR="00D265D7" w:rsidRPr="00C15514" w:rsidRDefault="00D265D7" w:rsidP="00D265D7">
      <w:pPr>
        <w:spacing w:after="0" w:line="360" w:lineRule="auto"/>
        <w:rPr>
          <w:rFonts w:ascii="Times New Roman" w:eastAsia="Calibri" w:hAnsi="Times New Roman" w:cs="Times New Roman"/>
          <w:sz w:val="24"/>
          <w:szCs w:val="24"/>
        </w:rPr>
      </w:pPr>
      <w:r w:rsidRPr="00C15514">
        <w:rPr>
          <w:rFonts w:ascii="Times New Roman" w:eastAsia="Calibri" w:hAnsi="Times New Roman" w:cs="Times New Roman"/>
          <w:sz w:val="24"/>
          <w:szCs w:val="24"/>
        </w:rPr>
        <w:t>The parties and all persons served with this application are required then to attend if they wish to be heard on the application and, in their absence, the Court may make such order as it thinks fit.</w:t>
      </w:r>
    </w:p>
    <w:p w:rsidR="00D265D7" w:rsidRPr="00C15514" w:rsidRDefault="00D265D7" w:rsidP="00D265D7">
      <w:pPr>
        <w:spacing w:after="0" w:line="276" w:lineRule="auto"/>
        <w:rPr>
          <w:rFonts w:ascii="Times New Roman" w:eastAsia="Calibri" w:hAnsi="Times New Roman" w:cs="Times New Roman"/>
          <w:sz w:val="24"/>
          <w:szCs w:val="24"/>
        </w:rPr>
      </w:pPr>
    </w:p>
    <w:p w:rsidR="00D265D7" w:rsidRPr="00C15514" w:rsidRDefault="00D265D7" w:rsidP="00D265D7">
      <w:pPr>
        <w:spacing w:after="360" w:line="276" w:lineRule="auto"/>
        <w:rPr>
          <w:rFonts w:ascii="Times New Roman" w:eastAsia="Calibri" w:hAnsi="Times New Roman" w:cs="Times New Roman"/>
          <w:sz w:val="24"/>
          <w:szCs w:val="24"/>
        </w:rPr>
      </w:pPr>
      <w:r w:rsidRPr="00C15514">
        <w:rPr>
          <w:rFonts w:ascii="Times New Roman" w:eastAsia="Calibri" w:hAnsi="Times New Roman" w:cs="Times New Roman"/>
          <w:b/>
          <w:sz w:val="24"/>
          <w:szCs w:val="24"/>
        </w:rPr>
        <w:t>Date</w:t>
      </w:r>
      <w:r w:rsidRPr="00C15514">
        <w:rPr>
          <w:rFonts w:ascii="Times New Roman" w:eastAsia="Calibri" w:hAnsi="Times New Roman" w:cs="Times New Roman"/>
          <w:sz w:val="24"/>
          <w:szCs w:val="24"/>
        </w:rPr>
        <w:t>:</w:t>
      </w:r>
    </w:p>
    <w:p w:rsidR="00D265D7" w:rsidRPr="00C15514" w:rsidRDefault="00D265D7" w:rsidP="00D265D7">
      <w:pPr>
        <w:spacing w:after="0" w:line="276" w:lineRule="auto"/>
        <w:rPr>
          <w:rFonts w:ascii="Times New Roman" w:eastAsia="Calibri" w:hAnsi="Times New Roman" w:cs="Times New Roman"/>
          <w:sz w:val="24"/>
          <w:szCs w:val="24"/>
        </w:rPr>
      </w:pPr>
      <w:r w:rsidRPr="00C15514">
        <w:rPr>
          <w:rFonts w:ascii="Times New Roman" w:eastAsia="Calibri" w:hAnsi="Times New Roman" w:cs="Times New Roman"/>
          <w:sz w:val="24"/>
          <w:szCs w:val="24"/>
        </w:rPr>
        <w:t>(</w:t>
      </w:r>
      <w:proofErr w:type="gramStart"/>
      <w:r w:rsidRPr="00C15514">
        <w:rPr>
          <w:rFonts w:ascii="Times New Roman" w:eastAsia="Calibri" w:hAnsi="Times New Roman" w:cs="Times New Roman"/>
          <w:i/>
          <w:sz w:val="24"/>
          <w:szCs w:val="24"/>
        </w:rPr>
        <w:t>signed</w:t>
      </w:r>
      <w:proofErr w:type="gramEnd"/>
      <w:r w:rsidRPr="00C15514">
        <w:rPr>
          <w:rFonts w:ascii="Times New Roman" w:eastAsia="Calibri" w:hAnsi="Times New Roman" w:cs="Times New Roman"/>
          <w:sz w:val="24"/>
          <w:szCs w:val="24"/>
        </w:rPr>
        <w:t>)</w:t>
      </w:r>
      <w:r w:rsidRPr="00C15514">
        <w:rPr>
          <w:rFonts w:ascii="Times New Roman" w:eastAsia="Calibri" w:hAnsi="Times New Roman" w:cs="Times New Roman"/>
          <w:sz w:val="24"/>
          <w:szCs w:val="24"/>
        </w:rPr>
        <w:tab/>
        <w:t>…………………………</w:t>
      </w:r>
    </w:p>
    <w:p w:rsidR="00D265D7" w:rsidRPr="00C15514" w:rsidRDefault="00D265D7" w:rsidP="00D265D7">
      <w:pPr>
        <w:spacing w:after="0" w:line="276" w:lineRule="auto"/>
        <w:ind w:left="720" w:firstLine="720"/>
        <w:rPr>
          <w:rFonts w:ascii="Times New Roman" w:eastAsia="Calibri" w:hAnsi="Times New Roman" w:cs="Times New Roman"/>
          <w:sz w:val="24"/>
          <w:szCs w:val="24"/>
        </w:rPr>
      </w:pPr>
      <w:r w:rsidRPr="00C15514">
        <w:rPr>
          <w:rFonts w:ascii="Times New Roman" w:eastAsia="Calibri" w:hAnsi="Times New Roman" w:cs="Times New Roman"/>
          <w:sz w:val="24"/>
          <w:szCs w:val="24"/>
        </w:rPr>
        <w:t>Registrar</w:t>
      </w:r>
      <w:bookmarkStart w:id="1" w:name="_GoBack"/>
      <w:bookmarkEnd w:id="1"/>
    </w:p>
    <w:sectPr w:rsidR="00D265D7" w:rsidRPr="00C15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52"/>
    <w:multiLevelType w:val="hybridMultilevel"/>
    <w:tmpl w:val="A2620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830A5D"/>
    <w:multiLevelType w:val="hybridMultilevel"/>
    <w:tmpl w:val="1F985F0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8891C4D"/>
    <w:multiLevelType w:val="hybridMultilevel"/>
    <w:tmpl w:val="ABD6AC4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8CD4F86"/>
    <w:multiLevelType w:val="hybridMultilevel"/>
    <w:tmpl w:val="CF2A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DF309C"/>
    <w:multiLevelType w:val="hybridMultilevel"/>
    <w:tmpl w:val="A2620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36B1FE3"/>
    <w:multiLevelType w:val="hybridMultilevel"/>
    <w:tmpl w:val="365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E18EE"/>
    <w:multiLevelType w:val="hybridMultilevel"/>
    <w:tmpl w:val="20B4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D81367"/>
    <w:multiLevelType w:val="hybridMultilevel"/>
    <w:tmpl w:val="63EC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A855E9"/>
    <w:multiLevelType w:val="hybridMultilevel"/>
    <w:tmpl w:val="80EC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3B539E"/>
    <w:multiLevelType w:val="hybridMultilevel"/>
    <w:tmpl w:val="1F985F0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595407C"/>
    <w:multiLevelType w:val="hybridMultilevel"/>
    <w:tmpl w:val="BA6C4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B4B92"/>
    <w:multiLevelType w:val="hybridMultilevel"/>
    <w:tmpl w:val="CDC0C0E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6"/>
  </w:num>
  <w:num w:numId="8">
    <w:abstractNumId w:val="3"/>
  </w:num>
  <w:num w:numId="9">
    <w:abstractNumId w:val="8"/>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D7"/>
    <w:rsid w:val="003B391B"/>
    <w:rsid w:val="00A57E4E"/>
    <w:rsid w:val="00D26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D0874-137C-4A71-AA3E-A112EA6F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E0EFA-2C87-4E69-85D5-95F3C6D374BF}"/>
</file>

<file path=customXml/itemProps2.xml><?xml version="1.0" encoding="utf-8"?>
<ds:datastoreItem xmlns:ds="http://schemas.openxmlformats.org/officeDocument/2006/customXml" ds:itemID="{B39645F5-4A1F-4F27-BCC7-F73FCADE2430}"/>
</file>

<file path=customXml/itemProps3.xml><?xml version="1.0" encoding="utf-8"?>
<ds:datastoreItem xmlns:ds="http://schemas.openxmlformats.org/officeDocument/2006/customXml" ds:itemID="{6D606B90-F50F-4BB3-B6D3-1CC2608DD343}"/>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34H - Application to vary/revoke a Continuing Detention Order</dc:title>
  <dc:subject>Supreme Court Criminal Supplementary Rules 2014</dc:subject>
  <dc:creator>Courts Administration Authority</dc:creator>
  <cp:keywords/>
  <dc:description>Inserted by Amendment No. 4 effective 1 December 2017</dc:description>
  <dcterms:created xsi:type="dcterms:W3CDTF">2017-11-27T03:51:00Z</dcterms:created>
  <dcterms:modified xsi:type="dcterms:W3CDTF">2017-11-27T04:03:00Z</dcterms:modified>
</cp:coreProperties>
</file>